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92276" w14:textId="39C1EC1A" w:rsidR="00B8467E" w:rsidRDefault="00B8267B">
      <w:pPr>
        <w:spacing w:before="192" w:line="1048" w:lineRule="exact"/>
        <w:ind w:right="6666"/>
        <w:jc w:val="center"/>
        <w:rPr>
          <w:rFonts w:ascii="Times New Roman" w:hAnsi="Times New Roman"/>
          <w:sz w:val="100"/>
        </w:rPr>
      </w:pPr>
      <w:r>
        <w:rPr>
          <w:rFonts w:ascii="Times New Roman" w:hAnsi="Times New Roman"/>
          <w:color w:val="272227"/>
          <w:spacing w:val="-2"/>
          <w:w w:val="60"/>
          <w:sz w:val="100"/>
        </w:rPr>
        <w:t>•</w:t>
      </w:r>
      <w:r>
        <w:rPr>
          <w:rFonts w:ascii="Times New Roman" w:hAnsi="Times New Roman"/>
          <w:color w:val="828285"/>
          <w:spacing w:val="-2"/>
          <w:w w:val="60"/>
          <w:sz w:val="100"/>
        </w:rPr>
        <w:t>•</w:t>
      </w:r>
      <w:r>
        <w:rPr>
          <w:rFonts w:ascii="Times New Roman" w:hAnsi="Times New Roman"/>
          <w:color w:val="939397"/>
          <w:spacing w:val="-2"/>
          <w:w w:val="60"/>
          <w:sz w:val="100"/>
        </w:rPr>
        <w:t>•</w:t>
      </w:r>
      <w:r>
        <w:rPr>
          <w:rFonts w:ascii="Times New Roman" w:hAnsi="Times New Roman"/>
          <w:color w:val="828285"/>
          <w:spacing w:val="-2"/>
          <w:w w:val="60"/>
          <w:sz w:val="100"/>
        </w:rPr>
        <w:t>•</w:t>
      </w:r>
      <w:r>
        <w:rPr>
          <w:rFonts w:ascii="Times New Roman" w:hAnsi="Times New Roman"/>
          <w:color w:val="272227"/>
          <w:spacing w:val="-2"/>
          <w:w w:val="60"/>
          <w:sz w:val="100"/>
        </w:rPr>
        <w:t>•</w:t>
      </w:r>
    </w:p>
    <w:p w14:paraId="107BAE43" w14:textId="051C7029" w:rsidR="00B8467E" w:rsidRDefault="00B8267B">
      <w:pPr>
        <w:pStyle w:val="Nadpis1"/>
      </w:pPr>
      <w:proofErr w:type="spellStart"/>
      <w:r>
        <w:rPr>
          <w:color w:val="272227"/>
          <w:spacing w:val="-2"/>
          <w:w w:val="90"/>
        </w:rPr>
        <w:t>melicon</w:t>
      </w:r>
      <w:r w:rsidR="005711D0">
        <w:rPr>
          <w:color w:val="272227"/>
          <w:spacing w:val="-2"/>
          <w:w w:val="90"/>
        </w:rPr>
        <w:t>i</w:t>
      </w:r>
      <w:proofErr w:type="spellEnd"/>
    </w:p>
    <w:p w14:paraId="73D8FCF3" w14:textId="77777777" w:rsidR="00B8467E" w:rsidRDefault="00B8267B">
      <w:pPr>
        <w:pStyle w:val="Nadpis2"/>
      </w:pPr>
      <w:r>
        <w:rPr>
          <w:color w:val="201C20"/>
          <w:spacing w:val="-5"/>
          <w:w w:val="125"/>
        </w:rPr>
        <w:t>4D</w:t>
      </w:r>
    </w:p>
    <w:p w14:paraId="666CECD5" w14:textId="77777777" w:rsidR="00B8467E" w:rsidRDefault="00B8267B">
      <w:pPr>
        <w:pStyle w:val="Zkladntext"/>
        <w:spacing w:before="32" w:line="244" w:lineRule="auto"/>
        <w:ind w:left="113" w:right="6710" w:hanging="1"/>
        <w:jc w:val="both"/>
      </w:pPr>
      <w:r>
        <w:rPr>
          <w:color w:val="201C20"/>
          <w:w w:val="105"/>
        </w:rPr>
        <w:t xml:space="preserve">Růžové a světle modré měkké míčky Bucato Soft mají různou pevnost v tahu (jedna je tvrdší než druhá) a </w:t>
      </w:r>
      <w:proofErr w:type="spellStart"/>
      <w:r>
        <w:rPr>
          <w:color w:val="201C20"/>
          <w:w w:val="105"/>
        </w:rPr>
        <w:t>různě</w:t>
      </w:r>
      <w:proofErr w:type="spellEnd"/>
      <w:r>
        <w:rPr>
          <w:color w:val="201C20"/>
          <w:w w:val="105"/>
        </w:rPr>
        <w:t xml:space="preserve"> </w:t>
      </w:r>
      <w:proofErr w:type="spellStart"/>
      <w:r>
        <w:rPr>
          <w:color w:val="201C20"/>
          <w:w w:val="105"/>
        </w:rPr>
        <w:t>tvarované</w:t>
      </w:r>
      <w:proofErr w:type="spellEnd"/>
      <w:r>
        <w:rPr>
          <w:color w:val="201C20"/>
          <w:w w:val="105"/>
        </w:rPr>
        <w:t xml:space="preserve"> </w:t>
      </w:r>
      <w:proofErr w:type="spellStart"/>
      <w:r>
        <w:rPr>
          <w:color w:val="201C20"/>
          <w:w w:val="105"/>
        </w:rPr>
        <w:t>změkčovací</w:t>
      </w:r>
      <w:proofErr w:type="spellEnd"/>
      <w:r>
        <w:rPr>
          <w:color w:val="201C20"/>
          <w:w w:val="105"/>
        </w:rPr>
        <w:t xml:space="preserve"> </w:t>
      </w:r>
      <w:proofErr w:type="spellStart"/>
      <w:r>
        <w:rPr>
          <w:color w:val="201C20"/>
          <w:w w:val="105"/>
        </w:rPr>
        <w:t>uzly</w:t>
      </w:r>
      <w:proofErr w:type="spellEnd"/>
      <w:r>
        <w:rPr>
          <w:color w:val="201C20"/>
          <w:w w:val="105"/>
        </w:rPr>
        <w:t>.</w:t>
      </w:r>
    </w:p>
    <w:p w14:paraId="7BC6870F" w14:textId="77777777" w:rsidR="00B8467E" w:rsidRDefault="00B8267B">
      <w:pPr>
        <w:pStyle w:val="Zkladntext"/>
        <w:spacing w:line="244" w:lineRule="auto"/>
        <w:ind w:left="113" w:right="6706" w:hanging="2"/>
        <w:jc w:val="both"/>
      </w:pPr>
      <w:r>
        <w:rPr>
          <w:color w:val="201C20"/>
          <w:w w:val="110"/>
        </w:rPr>
        <w:t>Obě změkčovací koule jsou navrženy tak, aby spolupracovaly a zvedaly a oddělovaly prádlo během sušení v sušičce. Také zadržují teplo a přenášejí ho na oblečení během jeho kutálení, což usnadňuje proces sušení.</w:t>
      </w:r>
    </w:p>
    <w:p w14:paraId="0A3848EF" w14:textId="77777777" w:rsidR="00B8467E" w:rsidRDefault="00B8267B">
      <w:pPr>
        <w:pStyle w:val="Zkladntext"/>
        <w:ind w:left="109" w:right="6704" w:firstLine="7"/>
        <w:jc w:val="both"/>
        <w:rPr>
          <w:rFonts w:ascii="Century Gothic"/>
          <w:b/>
          <w:sz w:val="12"/>
        </w:rPr>
      </w:pPr>
      <w:r>
        <w:rPr>
          <w:color w:val="201C20"/>
          <w:w w:val="105"/>
        </w:rPr>
        <w:t xml:space="preserve">Nezapomeňte dát oba mechanické aviváže do sušičky a provozovat stroj na obvyklém nastavení pro vaše látky. Není potřeba přidávat "změkčující" ubrousky do sušičky ani používat aviváž </w:t>
      </w:r>
      <w:r>
        <w:rPr>
          <w:rFonts w:ascii="Century Gothic"/>
          <w:b/>
          <w:color w:val="201C20"/>
          <w:w w:val="105"/>
          <w:sz w:val="12"/>
        </w:rPr>
        <w:t>do pra</w:t>
      </w:r>
      <w:r>
        <w:rPr>
          <w:rFonts w:ascii="Century Gothic"/>
          <w:b/>
          <w:color w:val="201C20"/>
          <w:w w:val="105"/>
          <w:sz w:val="12"/>
        </w:rPr>
        <w:t>č</w:t>
      </w:r>
      <w:r>
        <w:rPr>
          <w:rFonts w:ascii="Century Gothic"/>
          <w:b/>
          <w:color w:val="201C20"/>
          <w:w w:val="105"/>
          <w:sz w:val="12"/>
        </w:rPr>
        <w:t>ky.</w:t>
      </w:r>
    </w:p>
    <w:p w14:paraId="2C529D51" w14:textId="77777777" w:rsidR="00B8467E" w:rsidRDefault="00B8267B">
      <w:pPr>
        <w:pStyle w:val="Zkladntext"/>
        <w:spacing w:before="97"/>
        <w:ind w:left="109" w:right="6705" w:firstLine="2"/>
        <w:jc w:val="both"/>
        <w:rPr>
          <w:rFonts w:ascii="Century Gothic"/>
          <w:b/>
          <w:sz w:val="12"/>
        </w:rPr>
      </w:pPr>
      <w:r>
        <w:rPr>
          <w:color w:val="201C20"/>
          <w:w w:val="110"/>
        </w:rPr>
        <w:t xml:space="preserve">Bucato Soft využívá speciálně navržené uzly k fyzickému rozbití tuhosti způsobené vodou schnoucí látku, čímž změkčí vaše prádlo bez zavedení toxických chemikálií. Pro </w:t>
      </w:r>
      <w:r>
        <w:rPr>
          <w:color w:val="201C20"/>
        </w:rPr>
        <w:t>více informací o chemickém složení</w:t>
      </w:r>
      <w:r>
        <w:rPr>
          <w:color w:val="201C20"/>
          <w:w w:val="110"/>
        </w:rPr>
        <w:t xml:space="preserve"> aviváže navštivte naše webové stránky www </w:t>
      </w:r>
      <w:r>
        <w:rPr>
          <w:rFonts w:ascii="Century Gothic"/>
          <w:b/>
          <w:color w:val="201C20"/>
          <w:w w:val="110"/>
          <w:sz w:val="12"/>
        </w:rPr>
        <w:t xml:space="preserve"> </w:t>
      </w:r>
      <w:r>
        <w:rPr>
          <w:b/>
          <w:color w:val="201C20"/>
          <w:spacing w:val="-2"/>
          <w:w w:val="110"/>
          <w:sz w:val="8"/>
        </w:rPr>
        <w:t>mellconl</w:t>
      </w:r>
      <w:r>
        <w:rPr>
          <w:rFonts w:ascii="Century Gothic"/>
          <w:b/>
          <w:color w:val="201C20"/>
          <w:spacing w:val="-2"/>
          <w:w w:val="110"/>
          <w:sz w:val="12"/>
        </w:rPr>
        <w:t>.com</w:t>
      </w:r>
    </w:p>
    <w:p w14:paraId="7869F182" w14:textId="77777777" w:rsidR="00B8467E" w:rsidRDefault="00B8267B">
      <w:pPr>
        <w:pStyle w:val="Zkladntext"/>
        <w:spacing w:line="244" w:lineRule="auto"/>
        <w:ind w:left="115" w:right="6709" w:hanging="4"/>
        <w:jc w:val="both"/>
      </w:pPr>
      <w:r>
        <w:rPr>
          <w:color w:val="201C20"/>
          <w:w w:val="105"/>
        </w:rPr>
        <w:t>Obě změkčovací kuličky byly vědecky testovány podle norem ISO v nezávislé laboratoři pro péči o textilie a bylo prokázáno, že:</w:t>
      </w:r>
    </w:p>
    <w:p w14:paraId="1362F434" w14:textId="77777777" w:rsidR="00B8467E" w:rsidRDefault="00B8267B">
      <w:pPr>
        <w:pStyle w:val="Odstavecseseznamem"/>
        <w:numPr>
          <w:ilvl w:val="0"/>
          <w:numId w:val="1"/>
        </w:numPr>
        <w:tabs>
          <w:tab w:val="left" w:pos="229"/>
        </w:tabs>
        <w:spacing w:before="95"/>
        <w:ind w:left="229" w:hanging="112"/>
        <w:rPr>
          <w:sz w:val="11"/>
        </w:rPr>
      </w:pPr>
      <w:proofErr w:type="spellStart"/>
      <w:r>
        <w:rPr>
          <w:color w:val="201C20"/>
          <w:w w:val="105"/>
          <w:sz w:val="11"/>
        </w:rPr>
        <w:t>Viditelně</w:t>
      </w:r>
      <w:proofErr w:type="spellEnd"/>
      <w:r>
        <w:rPr>
          <w:color w:val="201C20"/>
          <w:w w:val="105"/>
          <w:sz w:val="11"/>
        </w:rPr>
        <w:t xml:space="preserve"> </w:t>
      </w:r>
      <w:proofErr w:type="spellStart"/>
      <w:r>
        <w:rPr>
          <w:color w:val="201C20"/>
          <w:w w:val="105"/>
          <w:sz w:val="11"/>
        </w:rPr>
        <w:t>změkčující</w:t>
      </w:r>
      <w:proofErr w:type="spellEnd"/>
      <w:r>
        <w:rPr>
          <w:color w:val="201C20"/>
          <w:w w:val="105"/>
          <w:sz w:val="11"/>
        </w:rPr>
        <w:t xml:space="preserve"> </w:t>
      </w:r>
      <w:proofErr w:type="spellStart"/>
      <w:r>
        <w:rPr>
          <w:color w:val="201C20"/>
          <w:w w:val="105"/>
          <w:sz w:val="11"/>
        </w:rPr>
        <w:t>látky</w:t>
      </w:r>
      <w:proofErr w:type="spellEnd"/>
      <w:r>
        <w:rPr>
          <w:color w:val="201C20"/>
          <w:w w:val="105"/>
          <w:sz w:val="11"/>
        </w:rPr>
        <w:t>;</w:t>
      </w:r>
    </w:p>
    <w:p w14:paraId="563F18A0" w14:textId="77777777" w:rsidR="00B8467E" w:rsidRDefault="00B8267B">
      <w:pPr>
        <w:pStyle w:val="Odstavecseseznamem"/>
        <w:numPr>
          <w:ilvl w:val="0"/>
          <w:numId w:val="1"/>
        </w:numPr>
        <w:tabs>
          <w:tab w:val="left" w:pos="233"/>
        </w:tabs>
        <w:spacing w:before="3"/>
        <w:ind w:left="233" w:hanging="111"/>
        <w:rPr>
          <w:sz w:val="11"/>
        </w:rPr>
      </w:pPr>
      <w:r>
        <w:rPr>
          <w:color w:val="201C20"/>
          <w:sz w:val="11"/>
        </w:rPr>
        <w:t xml:space="preserve">Snižte mi sušení </w:t>
      </w:r>
      <w:proofErr w:type="spellStart"/>
      <w:r>
        <w:rPr>
          <w:color w:val="201C20"/>
          <w:sz w:val="11"/>
        </w:rPr>
        <w:t>až</w:t>
      </w:r>
      <w:proofErr w:type="spellEnd"/>
      <w:r>
        <w:rPr>
          <w:color w:val="201C20"/>
          <w:sz w:val="11"/>
        </w:rPr>
        <w:t xml:space="preserve"> o 25 %;</w:t>
      </w:r>
    </w:p>
    <w:p w14:paraId="4DA092A2" w14:textId="77777777" w:rsidR="00B8467E" w:rsidRDefault="00B8267B">
      <w:pPr>
        <w:pStyle w:val="Odstavecseseznamem"/>
        <w:numPr>
          <w:ilvl w:val="0"/>
          <w:numId w:val="1"/>
        </w:numPr>
        <w:tabs>
          <w:tab w:val="left" w:pos="233"/>
        </w:tabs>
        <w:ind w:left="233" w:hanging="111"/>
        <w:rPr>
          <w:sz w:val="11"/>
        </w:rPr>
      </w:pPr>
      <w:r>
        <w:rPr>
          <w:color w:val="201C20"/>
          <w:w w:val="105"/>
          <w:sz w:val="11"/>
        </w:rPr>
        <w:t>Snižte záhyby při praní;</w:t>
      </w:r>
    </w:p>
    <w:p w14:paraId="242628E5" w14:textId="77777777" w:rsidR="00B8467E" w:rsidRDefault="00B8267B">
      <w:pPr>
        <w:pStyle w:val="Odstavecseseznamem"/>
        <w:numPr>
          <w:ilvl w:val="0"/>
          <w:numId w:val="1"/>
        </w:numPr>
        <w:tabs>
          <w:tab w:val="left" w:pos="231"/>
        </w:tabs>
        <w:ind w:left="231" w:hanging="109"/>
        <w:rPr>
          <w:sz w:val="11"/>
        </w:rPr>
      </w:pPr>
      <w:r>
        <w:rPr>
          <w:color w:val="201C20"/>
          <w:w w:val="110"/>
          <w:sz w:val="11"/>
        </w:rPr>
        <w:t xml:space="preserve">Omezte množství </w:t>
      </w:r>
      <w:proofErr w:type="spellStart"/>
      <w:r>
        <w:rPr>
          <w:color w:val="201C20"/>
          <w:w w:val="110"/>
          <w:sz w:val="11"/>
        </w:rPr>
        <w:t>žmolků</w:t>
      </w:r>
      <w:proofErr w:type="spellEnd"/>
      <w:r>
        <w:rPr>
          <w:color w:val="201C20"/>
          <w:w w:val="110"/>
          <w:sz w:val="11"/>
        </w:rPr>
        <w:t xml:space="preserve"> (</w:t>
      </w:r>
      <w:proofErr w:type="spellStart"/>
      <w:r>
        <w:rPr>
          <w:color w:val="201C20"/>
          <w:w w:val="110"/>
          <w:sz w:val="11"/>
        </w:rPr>
        <w:t>plýtvání</w:t>
      </w:r>
      <w:proofErr w:type="spellEnd"/>
      <w:r>
        <w:rPr>
          <w:color w:val="201C20"/>
          <w:w w:val="110"/>
          <w:sz w:val="11"/>
        </w:rPr>
        <w:t xml:space="preserve"> </w:t>
      </w:r>
      <w:proofErr w:type="spellStart"/>
      <w:r>
        <w:rPr>
          <w:color w:val="201C20"/>
          <w:w w:val="115"/>
          <w:sz w:val="11"/>
        </w:rPr>
        <w:t>fuffem</w:t>
      </w:r>
      <w:proofErr w:type="spellEnd"/>
      <w:r>
        <w:rPr>
          <w:color w:val="201C20"/>
          <w:w w:val="115"/>
          <w:sz w:val="11"/>
        </w:rPr>
        <w:t xml:space="preserve"> </w:t>
      </w:r>
      <w:r>
        <w:rPr>
          <w:color w:val="201C20"/>
          <w:spacing w:val="-2"/>
          <w:w w:val="110"/>
          <w:sz w:val="11"/>
        </w:rPr>
        <w:t>);</w:t>
      </w:r>
    </w:p>
    <w:p w14:paraId="66FB9D13" w14:textId="77777777" w:rsidR="00B8467E" w:rsidRDefault="00B8267B">
      <w:pPr>
        <w:pStyle w:val="Zkladntext"/>
        <w:spacing w:before="92" w:line="235" w:lineRule="auto"/>
        <w:ind w:left="112" w:right="6707" w:firstLine="27"/>
        <w:jc w:val="both"/>
      </w:pPr>
      <w:r>
        <w:rPr>
          <w:color w:val="201C20"/>
          <w:w w:val="105"/>
        </w:rPr>
        <w:t xml:space="preserve">Jsou také certifikované </w:t>
      </w:r>
      <w:r>
        <w:rPr>
          <w:rFonts w:ascii="Gadugi"/>
          <w:color w:val="201C20"/>
          <w:w w:val="105"/>
          <w:vertAlign w:val="superscript"/>
        </w:rPr>
        <w:t xml:space="preserve"> </w:t>
      </w:r>
      <w:proofErr w:type="spellStart"/>
      <w:r>
        <w:rPr>
          <w:rFonts w:ascii="Gadugi"/>
          <w:color w:val="201C20"/>
          <w:w w:val="105"/>
          <w:vertAlign w:val="superscript"/>
        </w:rPr>
        <w:t>jako</w:t>
      </w:r>
      <w:proofErr w:type="spellEnd"/>
      <w:r>
        <w:rPr>
          <w:rFonts w:ascii="Gadugi"/>
          <w:color w:val="201C20"/>
          <w:w w:val="105"/>
          <w:vertAlign w:val="superscript"/>
        </w:rPr>
        <w:t xml:space="preserve"> </w:t>
      </w:r>
      <w:proofErr w:type="spellStart"/>
      <w:r>
        <w:rPr>
          <w:color w:val="201C20"/>
          <w:w w:val="105"/>
        </w:rPr>
        <w:t>netoxické</w:t>
      </w:r>
      <w:proofErr w:type="spellEnd"/>
      <w:r>
        <w:rPr>
          <w:color w:val="201C20"/>
          <w:w w:val="105"/>
        </w:rPr>
        <w:t xml:space="preserve"> </w:t>
      </w:r>
      <w:proofErr w:type="spellStart"/>
      <w:r>
        <w:rPr>
          <w:color w:val="201C20"/>
          <w:w w:val="105"/>
        </w:rPr>
        <w:t>podle</w:t>
      </w:r>
      <w:proofErr w:type="spellEnd"/>
      <w:r>
        <w:rPr>
          <w:color w:val="201C20"/>
          <w:w w:val="105"/>
        </w:rPr>
        <w:t xml:space="preserve"> </w:t>
      </w:r>
      <w:proofErr w:type="spellStart"/>
      <w:r>
        <w:rPr>
          <w:color w:val="201C20"/>
          <w:w w:val="105"/>
        </w:rPr>
        <w:t>evropských</w:t>
      </w:r>
      <w:proofErr w:type="spellEnd"/>
      <w:r>
        <w:rPr>
          <w:color w:val="201C20"/>
          <w:w w:val="105"/>
        </w:rPr>
        <w:t xml:space="preserve"> </w:t>
      </w:r>
      <w:proofErr w:type="spellStart"/>
      <w:r>
        <w:rPr>
          <w:color w:val="201C20"/>
          <w:w w:val="105"/>
        </w:rPr>
        <w:t>standardů</w:t>
      </w:r>
      <w:proofErr w:type="spellEnd"/>
      <w:r>
        <w:rPr>
          <w:color w:val="201C20"/>
          <w:w w:val="105"/>
        </w:rPr>
        <w:t xml:space="preserve"> pro </w:t>
      </w:r>
      <w:proofErr w:type="spellStart"/>
      <w:r>
        <w:rPr>
          <w:color w:val="201C20"/>
          <w:w w:val="105"/>
        </w:rPr>
        <w:t>hračky</w:t>
      </w:r>
      <w:proofErr w:type="spellEnd"/>
      <w:r>
        <w:rPr>
          <w:color w:val="201C20"/>
          <w:w w:val="105"/>
        </w:rPr>
        <w:t xml:space="preserve"> (EN71 pt3) </w:t>
      </w:r>
      <w:proofErr w:type="spellStart"/>
      <w:r>
        <w:rPr>
          <w:color w:val="201C20"/>
          <w:w w:val="105"/>
        </w:rPr>
        <w:t>kromě</w:t>
      </w:r>
      <w:proofErr w:type="spellEnd"/>
      <w:r>
        <w:rPr>
          <w:color w:val="201C20"/>
          <w:w w:val="105"/>
        </w:rPr>
        <w:t xml:space="preserve"> </w:t>
      </w:r>
      <w:r>
        <w:rPr>
          <w:rFonts w:ascii="Gadugi"/>
          <w:color w:val="201C20"/>
          <w:w w:val="105"/>
          <w:position w:val="3"/>
          <w:sz w:val="7"/>
        </w:rPr>
        <w:t xml:space="preserve"> </w:t>
      </w:r>
      <w:r>
        <w:rPr>
          <w:color w:val="201C20"/>
          <w:w w:val="105"/>
        </w:rPr>
        <w:t xml:space="preserve"> </w:t>
      </w:r>
      <w:proofErr w:type="spellStart"/>
      <w:r>
        <w:rPr>
          <w:color w:val="201C20"/>
          <w:w w:val="105"/>
        </w:rPr>
        <w:t>chemikálií</w:t>
      </w:r>
      <w:proofErr w:type="spellEnd"/>
      <w:r>
        <w:rPr>
          <w:color w:val="201C20"/>
          <w:w w:val="105"/>
        </w:rPr>
        <w:t xml:space="preserve"> </w:t>
      </w:r>
      <w:proofErr w:type="spellStart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napln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ě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n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ý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ch</w:t>
      </w:r>
      <w:proofErr w:type="spellEnd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 xml:space="preserve"> </w:t>
      </w:r>
      <w:proofErr w:type="spellStart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zm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ě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k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č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ova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č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i</w:t>
      </w:r>
      <w:proofErr w:type="spellEnd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 xml:space="preserve"> </w:t>
      </w:r>
      <w:proofErr w:type="spellStart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fabr</w:t>
      </w:r>
      <w:proofErr w:type="spellEnd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 xml:space="preserve"> c (ale </w:t>
      </w:r>
      <w:proofErr w:type="spellStart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pros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í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m</w:t>
      </w:r>
      <w:proofErr w:type="spellEnd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 xml:space="preserve"> </w:t>
      </w:r>
      <w:proofErr w:type="spellStart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vezm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ě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te</w:t>
      </w:r>
      <w:proofErr w:type="spellEnd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 xml:space="preserve"> </w:t>
      </w:r>
      <w:proofErr w:type="spellStart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na</w:t>
      </w:r>
      <w:proofErr w:type="spellEnd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 xml:space="preserve"> </w:t>
      </w:r>
      <w:proofErr w:type="spellStart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v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ě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dom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í</w:t>
      </w:r>
      <w:proofErr w:type="spellEnd"/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 xml:space="preserve">, 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ž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e Bucato Soft NEJSOU hra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č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ky a stejn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>ě</w:t>
      </w:r>
      <w:r w:rsidRPr="005711D0">
        <w:rPr>
          <w:rFonts w:ascii="Gadugi"/>
          <w:color w:val="201C20"/>
          <w:w w:val="105"/>
          <w:sz w:val="15"/>
          <w:szCs w:val="15"/>
          <w:vertAlign w:val="superscript"/>
        </w:rPr>
        <w:t xml:space="preserve"> jako</w:t>
      </w:r>
      <w:r w:rsidRPr="005711D0">
        <w:rPr>
          <w:color w:val="201C20"/>
          <w:w w:val="105"/>
          <w:sz w:val="15"/>
          <w:szCs w:val="15"/>
        </w:rPr>
        <w:t xml:space="preserve"> </w:t>
      </w:r>
      <w:r>
        <w:rPr>
          <w:color w:val="201C20"/>
          <w:w w:val="105"/>
        </w:rPr>
        <w:t>u všech domácích výrobků je třeba dbát na to, aby byly mimo dosah dětí)</w:t>
      </w:r>
    </w:p>
    <w:p w14:paraId="5DC5D178" w14:textId="77777777" w:rsidR="00B8467E" w:rsidRDefault="00B8467E">
      <w:pPr>
        <w:pStyle w:val="Zkladntext"/>
        <w:spacing w:before="0"/>
        <w:ind w:firstLine="0"/>
      </w:pPr>
    </w:p>
    <w:p w14:paraId="0901D432" w14:textId="77777777" w:rsidR="00B8467E" w:rsidRDefault="00B8467E">
      <w:pPr>
        <w:pStyle w:val="Zkladntext"/>
        <w:spacing w:before="56"/>
        <w:ind w:firstLine="0"/>
      </w:pPr>
    </w:p>
    <w:p w14:paraId="26362F59" w14:textId="77777777" w:rsidR="00B8467E" w:rsidRDefault="00B8267B">
      <w:pPr>
        <w:spacing w:line="268" w:lineRule="auto"/>
        <w:ind w:left="139" w:right="7772" w:hanging="20"/>
        <w:rPr>
          <w:rFonts w:ascii="Times New Roman"/>
          <w:sz w:val="10"/>
        </w:rPr>
      </w:pPr>
      <w:r>
        <w:rPr>
          <w:b/>
          <w:i/>
          <w:color w:val="201C20"/>
          <w:spacing w:val="-2"/>
          <w:w w:val="105"/>
          <w:sz w:val="10"/>
        </w:rPr>
        <w:t xml:space="preserve">Distribuováno MEL/CON/S.p </w:t>
      </w:r>
      <w:r>
        <w:rPr>
          <w:rFonts w:ascii="Cambria"/>
          <w:b/>
          <w:i/>
          <w:color w:val="201C20"/>
          <w:spacing w:val="-2"/>
          <w:w w:val="210"/>
          <w:sz w:val="6"/>
        </w:rPr>
        <w:t xml:space="preserve">A </w:t>
      </w:r>
      <w:r>
        <w:rPr>
          <w:b/>
          <w:i/>
          <w:color w:val="201C20"/>
          <w:w w:val="105"/>
          <w:sz w:val="10"/>
        </w:rPr>
        <w:t xml:space="preserve">přes Minghetti </w:t>
      </w:r>
      <w:r>
        <w:rPr>
          <w:rFonts w:ascii="Times New Roman"/>
          <w:color w:val="201C20"/>
          <w:w w:val="105"/>
          <w:sz w:val="10"/>
        </w:rPr>
        <w:t>10</w:t>
      </w:r>
    </w:p>
    <w:p w14:paraId="07C3311E" w14:textId="24A45C38" w:rsidR="00B8467E" w:rsidRDefault="00B8267B">
      <w:pPr>
        <w:spacing w:line="266" w:lineRule="auto"/>
        <w:ind w:left="120" w:right="7936" w:hanging="5"/>
        <w:rPr>
          <w:rFonts w:ascii="Cambria"/>
          <w:b/>
          <w:i/>
          <w:sz w:val="6"/>
        </w:rPr>
      </w:pPr>
      <w:r>
        <w:rPr>
          <w:b/>
          <w:i/>
          <w:color w:val="252124"/>
          <w:sz w:val="10"/>
        </w:rPr>
        <w:t xml:space="preserve">40057 Granarolo Emilia </w:t>
      </w:r>
      <w:r>
        <w:rPr>
          <w:b/>
          <w:i/>
          <w:color w:val="252124"/>
          <w:w w:val="110"/>
          <w:sz w:val="10"/>
        </w:rPr>
        <w:t xml:space="preserve">Bologna, Itálie www.mellconl </w:t>
      </w:r>
      <w:r>
        <w:rPr>
          <w:rFonts w:ascii="Cambria"/>
          <w:b/>
          <w:i/>
          <w:color w:val="252124"/>
          <w:w w:val="190"/>
          <w:sz w:val="6"/>
        </w:rPr>
        <w:t>com</w:t>
      </w:r>
    </w:p>
    <w:sectPr w:rsidR="00B8467E">
      <w:type w:val="continuous"/>
      <w:pgSz w:w="12240" w:h="9350" w:orient="landscape"/>
      <w:pgMar w:top="100" w:right="1700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1A062B"/>
    <w:multiLevelType w:val="hybridMultilevel"/>
    <w:tmpl w:val="B1C42F62"/>
    <w:lvl w:ilvl="0" w:tplc="3E383D8A">
      <w:numFmt w:val="bullet"/>
      <w:lvlText w:val="•"/>
      <w:lvlJc w:val="left"/>
      <w:pPr>
        <w:ind w:left="230" w:hanging="113"/>
      </w:pPr>
      <w:rPr>
        <w:rFonts w:ascii="Verdana" w:eastAsia="Verdana" w:hAnsi="Verdana" w:cs="Verdana" w:hint="default"/>
        <w:b w:val="0"/>
        <w:bCs w:val="0"/>
        <w:i w:val="0"/>
        <w:iCs w:val="0"/>
        <w:color w:val="201C20"/>
        <w:spacing w:val="0"/>
        <w:w w:val="63"/>
        <w:sz w:val="11"/>
        <w:szCs w:val="11"/>
        <w:lang w:val="en-US" w:eastAsia="en-US" w:bidi="ar-SA"/>
      </w:rPr>
    </w:lvl>
    <w:lvl w:ilvl="1" w:tplc="412C982E">
      <w:numFmt w:val="bullet"/>
      <w:lvlText w:val="•"/>
      <w:lvlJc w:val="left"/>
      <w:pPr>
        <w:ind w:left="1198" w:hanging="113"/>
      </w:pPr>
      <w:rPr>
        <w:rFonts w:hint="default"/>
        <w:lang w:val="en-US" w:eastAsia="en-US" w:bidi="ar-SA"/>
      </w:rPr>
    </w:lvl>
    <w:lvl w:ilvl="2" w:tplc="CA3847C2">
      <w:numFmt w:val="bullet"/>
      <w:lvlText w:val="•"/>
      <w:lvlJc w:val="left"/>
      <w:pPr>
        <w:ind w:left="2157" w:hanging="113"/>
      </w:pPr>
      <w:rPr>
        <w:rFonts w:hint="default"/>
        <w:lang w:val="en-US" w:eastAsia="en-US" w:bidi="ar-SA"/>
      </w:rPr>
    </w:lvl>
    <w:lvl w:ilvl="3" w:tplc="5B041142">
      <w:numFmt w:val="bullet"/>
      <w:lvlText w:val="•"/>
      <w:lvlJc w:val="left"/>
      <w:pPr>
        <w:ind w:left="3116" w:hanging="113"/>
      </w:pPr>
      <w:rPr>
        <w:rFonts w:hint="default"/>
        <w:lang w:val="en-US" w:eastAsia="en-US" w:bidi="ar-SA"/>
      </w:rPr>
    </w:lvl>
    <w:lvl w:ilvl="4" w:tplc="87FA26A4">
      <w:numFmt w:val="bullet"/>
      <w:lvlText w:val="•"/>
      <w:lvlJc w:val="left"/>
      <w:pPr>
        <w:ind w:left="4075" w:hanging="113"/>
      </w:pPr>
      <w:rPr>
        <w:rFonts w:hint="default"/>
        <w:lang w:val="en-US" w:eastAsia="en-US" w:bidi="ar-SA"/>
      </w:rPr>
    </w:lvl>
    <w:lvl w:ilvl="5" w:tplc="DD08FE7E">
      <w:numFmt w:val="bullet"/>
      <w:lvlText w:val="•"/>
      <w:lvlJc w:val="left"/>
      <w:pPr>
        <w:ind w:left="5034" w:hanging="113"/>
      </w:pPr>
      <w:rPr>
        <w:rFonts w:hint="default"/>
        <w:lang w:val="en-US" w:eastAsia="en-US" w:bidi="ar-SA"/>
      </w:rPr>
    </w:lvl>
    <w:lvl w:ilvl="6" w:tplc="D922B114">
      <w:numFmt w:val="bullet"/>
      <w:lvlText w:val="•"/>
      <w:lvlJc w:val="left"/>
      <w:pPr>
        <w:ind w:left="5993" w:hanging="113"/>
      </w:pPr>
      <w:rPr>
        <w:rFonts w:hint="default"/>
        <w:lang w:val="en-US" w:eastAsia="en-US" w:bidi="ar-SA"/>
      </w:rPr>
    </w:lvl>
    <w:lvl w:ilvl="7" w:tplc="EDB03D68">
      <w:numFmt w:val="bullet"/>
      <w:lvlText w:val="•"/>
      <w:lvlJc w:val="left"/>
      <w:pPr>
        <w:ind w:left="6952" w:hanging="113"/>
      </w:pPr>
      <w:rPr>
        <w:rFonts w:hint="default"/>
        <w:lang w:val="en-US" w:eastAsia="en-US" w:bidi="ar-SA"/>
      </w:rPr>
    </w:lvl>
    <w:lvl w:ilvl="8" w:tplc="14881244">
      <w:numFmt w:val="bullet"/>
      <w:lvlText w:val="•"/>
      <w:lvlJc w:val="left"/>
      <w:pPr>
        <w:ind w:left="7911" w:hanging="113"/>
      </w:pPr>
      <w:rPr>
        <w:rFonts w:hint="default"/>
        <w:lang w:val="en-US" w:eastAsia="en-US" w:bidi="ar-SA"/>
      </w:rPr>
    </w:lvl>
  </w:abstractNum>
  <w:num w:numId="1" w16cid:durableId="566653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467E"/>
    <w:rsid w:val="005711D0"/>
    <w:rsid w:val="00B8267B"/>
    <w:rsid w:val="00B8467E"/>
    <w:rsid w:val="00ED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8784A"/>
  <w15:docId w15:val="{FBCFFF75-9C79-4F7C-9ED0-C758CB6F3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Verdana" w:eastAsia="Verdana" w:hAnsi="Verdana" w:cs="Verdana"/>
    </w:rPr>
  </w:style>
  <w:style w:type="paragraph" w:styleId="Nadpis1">
    <w:name w:val="heading 1"/>
    <w:basedOn w:val="Normln"/>
    <w:uiPriority w:val="9"/>
    <w:qFormat/>
    <w:pPr>
      <w:spacing w:line="588" w:lineRule="exact"/>
      <w:ind w:left="62" w:right="6666"/>
      <w:jc w:val="center"/>
      <w:outlineLvl w:val="0"/>
    </w:pPr>
    <w:rPr>
      <w:rFonts w:ascii="Times New Roman" w:eastAsia="Times New Roman" w:hAnsi="Times New Roman" w:cs="Times New Roman"/>
      <w:b/>
      <w:bCs/>
      <w:sz w:val="60"/>
      <w:szCs w:val="60"/>
    </w:rPr>
  </w:style>
  <w:style w:type="paragraph" w:styleId="Nadpis2">
    <w:name w:val="heading 2"/>
    <w:basedOn w:val="Normln"/>
    <w:uiPriority w:val="9"/>
    <w:unhideWhenUsed/>
    <w:qFormat/>
    <w:pPr>
      <w:spacing w:before="268"/>
      <w:ind w:left="62" w:right="6666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95"/>
      <w:ind w:hanging="111"/>
    </w:pPr>
    <w:rPr>
      <w:sz w:val="11"/>
      <w:szCs w:val="11"/>
    </w:rPr>
  </w:style>
  <w:style w:type="paragraph" w:styleId="Odstavecseseznamem">
    <w:name w:val="List Paragraph"/>
    <w:basedOn w:val="Normln"/>
    <w:uiPriority w:val="1"/>
    <w:qFormat/>
    <w:pPr>
      <w:spacing w:before="2"/>
      <w:ind w:left="233" w:hanging="111"/>
    </w:pPr>
  </w:style>
  <w:style w:type="paragraph" w:customStyle="1" w:styleId="TableParagraph">
    <w:name w:val="Table Paragraph"/>
    <w:basedOn w:val="Normln"/>
    <w:uiPriority w:val="1"/>
    <w:qFormat/>
  </w:style>
  <w:style w:type="character" w:styleId="Zstupntext">
    <w:name w:val="Placeholder Text"/>
    <w:basedOn w:val="Standardnpsmoodstavce"/>
    <w:uiPriority w:val="99"/>
    <w:semiHidden/>
    <w:rsid w:val="005711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Guth</dc:creator>
  <cp:lastModifiedBy>Michael Guth</cp:lastModifiedBy>
  <cp:revision>1</cp:revision>
  <dcterms:created xsi:type="dcterms:W3CDTF">2026-06-25T08:30:00Z</dcterms:created>
  <dcterms:modified xsi:type="dcterms:W3CDTF">2026-06-25T08:31:00Z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2026-06-25T00:00:00Z</vt:filetime>
  </property>
  <property fmtid="{D5CDD505-2E9C-101B-9397-08002B2CF9AE}" pid="5" name="Producer">
    <vt:lpwstr>Adobe PDF Library 15.0</vt:lpwstr>
  </property>
</Properties>
</file>